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199F4822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90DE4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A5482">
        <w:rPr>
          <w:rFonts w:ascii="Corbel" w:hAnsi="Corbel"/>
          <w:b/>
          <w:bCs/>
          <w:iCs/>
          <w:smallCaps/>
          <w:sz w:val="24"/>
          <w:szCs w:val="24"/>
        </w:rPr>
        <w:t>4</w:t>
      </w:r>
      <w:bookmarkEnd w:id="0"/>
    </w:p>
    <w:p w14:paraId="0E7F7276" w14:textId="1DAFB1E8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290DE4">
        <w:rPr>
          <w:rFonts w:ascii="Corbel" w:hAnsi="Corbel"/>
          <w:sz w:val="20"/>
          <w:szCs w:val="20"/>
        </w:rPr>
        <w:t>2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290DE4">
        <w:rPr>
          <w:rFonts w:ascii="Corbel" w:hAnsi="Corbel"/>
          <w:sz w:val="20"/>
          <w:szCs w:val="20"/>
        </w:rPr>
        <w:t>3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 xml:space="preserve">rof. dr hab. Georgij </w:t>
            </w:r>
            <w:proofErr w:type="spellStart"/>
            <w:r w:rsidR="00557449">
              <w:rPr>
                <w:rFonts w:ascii="Corbel" w:hAnsi="Corbel"/>
                <w:b w:val="0"/>
                <w:sz w:val="24"/>
                <w:szCs w:val="24"/>
              </w:rPr>
              <w:t>Cherevko</w:t>
            </w:r>
            <w:proofErr w:type="spellEnd"/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M. Brzoza-Brzezina, Polska polityka pieniężna. Badania teoretyczne i empiryczne,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 xml:space="preserve">, Bank Centralny na współczesnym rynku pieniężnym. Dyscyplina regulacyjna, skuteczność, instrumenty, Wyd. </w:t>
            </w:r>
            <w:proofErr w:type="spellStart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C6509" w14:textId="77777777" w:rsidR="0032052C" w:rsidRDefault="0032052C" w:rsidP="00C16ABF">
      <w:pPr>
        <w:spacing w:after="0" w:line="240" w:lineRule="auto"/>
      </w:pPr>
      <w:r>
        <w:separator/>
      </w:r>
    </w:p>
  </w:endnote>
  <w:endnote w:type="continuationSeparator" w:id="0">
    <w:p w14:paraId="7F6BE662" w14:textId="77777777" w:rsidR="0032052C" w:rsidRDefault="003205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18F35" w14:textId="77777777" w:rsidR="0032052C" w:rsidRDefault="0032052C" w:rsidP="00C16ABF">
      <w:pPr>
        <w:spacing w:after="0" w:line="240" w:lineRule="auto"/>
      </w:pPr>
      <w:r>
        <w:separator/>
      </w:r>
    </w:p>
  </w:footnote>
  <w:footnote w:type="continuationSeparator" w:id="0">
    <w:p w14:paraId="126B3752" w14:textId="77777777" w:rsidR="0032052C" w:rsidRDefault="0032052C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0DE4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52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3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E3487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48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0D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289E3-3F5A-459A-B8E6-5A2A5EA2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2020-10-22T20:14:00Z</dcterms:created>
  <dcterms:modified xsi:type="dcterms:W3CDTF">2022-02-11T08:57:00Z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